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E416E" w14:textId="77777777" w:rsidR="009D5683" w:rsidRDefault="009D5683">
      <w:pPr>
        <w:rPr>
          <w:b/>
          <w:noProof/>
          <w:lang w:eastAsia="de-CH"/>
        </w:rPr>
      </w:pPr>
      <w:r w:rsidRPr="00EE0C01">
        <w:rPr>
          <w:b/>
          <w:noProof/>
          <w:lang w:val="de-DE" w:eastAsia="de-DE"/>
        </w:rPr>
        <w:drawing>
          <wp:anchor distT="0" distB="0" distL="114300" distR="114300" simplePos="0" relativeHeight="251661312" behindDoc="0" locked="0" layoutInCell="1" allowOverlap="0" wp14:anchorId="4D42E655" wp14:editId="1A8B2F49">
            <wp:simplePos x="0" y="0"/>
            <wp:positionH relativeFrom="column">
              <wp:posOffset>5142865</wp:posOffset>
            </wp:positionH>
            <wp:positionV relativeFrom="paragraph">
              <wp:posOffset>-227965</wp:posOffset>
            </wp:positionV>
            <wp:extent cx="586740" cy="673100"/>
            <wp:effectExtent l="0" t="0" r="381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74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B0C95D" w14:textId="77777777" w:rsidR="00DC6D1C" w:rsidRPr="00DC6D1C" w:rsidRDefault="00DC6D1C">
      <w:pPr>
        <w:rPr>
          <w:b/>
          <w:noProof/>
          <w:sz w:val="16"/>
          <w:szCs w:val="16"/>
          <w:u w:val="single"/>
          <w:lang w:eastAsia="de-CH"/>
        </w:rPr>
      </w:pPr>
      <w:r w:rsidRPr="00DC6D1C">
        <w:rPr>
          <w:b/>
          <w:noProof/>
          <w:sz w:val="16"/>
          <w:szCs w:val="16"/>
          <w:u w:val="single"/>
          <w:lang w:eastAsia="de-CH"/>
        </w:rPr>
        <w:t>Grünliberale Partei Glarus</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096"/>
      </w:tblGrid>
      <w:tr w:rsidR="00B47EF9" w14:paraId="516FE179" w14:textId="77777777" w:rsidTr="00B47EF9">
        <w:tc>
          <w:tcPr>
            <w:tcW w:w="2988" w:type="dxa"/>
            <w:tcBorders>
              <w:bottom w:val="single" w:sz="12" w:space="0" w:color="auto"/>
            </w:tcBorders>
          </w:tcPr>
          <w:p w14:paraId="4029DBA9" w14:textId="77777777" w:rsidR="00B47EF9" w:rsidRPr="00DC6D1C" w:rsidRDefault="00DC6D1C">
            <w:pPr>
              <w:rPr>
                <w:b/>
                <w:noProof/>
                <w:sz w:val="32"/>
                <w:szCs w:val="32"/>
                <w:lang w:eastAsia="de-CH"/>
              </w:rPr>
            </w:pPr>
            <w:r w:rsidRPr="00DC6D1C">
              <w:rPr>
                <w:b/>
                <w:noProof/>
                <w:sz w:val="32"/>
                <w:szCs w:val="32"/>
                <w:lang w:eastAsia="de-CH"/>
              </w:rPr>
              <w:t>Medienmitteilung</w:t>
            </w:r>
          </w:p>
        </w:tc>
        <w:tc>
          <w:tcPr>
            <w:tcW w:w="6224" w:type="dxa"/>
            <w:tcBorders>
              <w:bottom w:val="single" w:sz="12" w:space="0" w:color="auto"/>
            </w:tcBorders>
          </w:tcPr>
          <w:p w14:paraId="20DCCB4C" w14:textId="77777777" w:rsidR="00B47EF9" w:rsidRDefault="00B47EF9">
            <w:pPr>
              <w:rPr>
                <w:b/>
                <w:noProof/>
                <w:lang w:eastAsia="de-CH"/>
              </w:rPr>
            </w:pPr>
          </w:p>
        </w:tc>
      </w:tr>
      <w:tr w:rsidR="00B47EF9" w14:paraId="3E0F38DA" w14:textId="77777777" w:rsidTr="00B47EF9">
        <w:trPr>
          <w:trHeight w:val="567"/>
        </w:trPr>
        <w:tc>
          <w:tcPr>
            <w:tcW w:w="2988" w:type="dxa"/>
            <w:tcBorders>
              <w:top w:val="single" w:sz="12" w:space="0" w:color="auto"/>
              <w:bottom w:val="single" w:sz="12" w:space="0" w:color="auto"/>
            </w:tcBorders>
            <w:vAlign w:val="center"/>
          </w:tcPr>
          <w:p w14:paraId="4C29C802" w14:textId="77777777" w:rsidR="00B47EF9" w:rsidRPr="00B47EF9" w:rsidRDefault="00B47EF9">
            <w:pPr>
              <w:rPr>
                <w:rFonts w:ascii="Arial" w:hAnsi="Arial" w:cs="Arial"/>
                <w:noProof/>
                <w:lang w:eastAsia="de-CH"/>
              </w:rPr>
            </w:pPr>
            <w:r w:rsidRPr="00B47EF9">
              <w:rPr>
                <w:rFonts w:ascii="Arial" w:hAnsi="Arial" w:cs="Arial"/>
                <w:noProof/>
                <w:lang w:eastAsia="de-CH"/>
              </w:rPr>
              <w:t>Thema</w:t>
            </w:r>
          </w:p>
        </w:tc>
        <w:tc>
          <w:tcPr>
            <w:tcW w:w="6224" w:type="dxa"/>
            <w:tcBorders>
              <w:top w:val="single" w:sz="12" w:space="0" w:color="auto"/>
              <w:bottom w:val="single" w:sz="12" w:space="0" w:color="auto"/>
            </w:tcBorders>
            <w:vAlign w:val="center"/>
          </w:tcPr>
          <w:p w14:paraId="79EAC186" w14:textId="19D04DE1" w:rsidR="00B47EF9" w:rsidRDefault="007F2875">
            <w:pPr>
              <w:rPr>
                <w:b/>
                <w:noProof/>
                <w:lang w:eastAsia="de-CH"/>
              </w:rPr>
            </w:pPr>
            <w:r>
              <w:rPr>
                <w:b/>
                <w:noProof/>
                <w:lang w:eastAsia="de-CH"/>
              </w:rPr>
              <w:t>Gemeindeversammlung Glarus Nord, 22. Juni 2026</w:t>
            </w:r>
          </w:p>
        </w:tc>
      </w:tr>
      <w:tr w:rsidR="00B47EF9" w14:paraId="2D7C3399" w14:textId="77777777" w:rsidTr="00C81982">
        <w:trPr>
          <w:trHeight w:val="567"/>
        </w:trPr>
        <w:tc>
          <w:tcPr>
            <w:tcW w:w="2988" w:type="dxa"/>
            <w:tcBorders>
              <w:top w:val="single" w:sz="12" w:space="0" w:color="auto"/>
              <w:bottom w:val="single" w:sz="6" w:space="0" w:color="auto"/>
            </w:tcBorders>
            <w:vAlign w:val="center"/>
          </w:tcPr>
          <w:p w14:paraId="6904D0BE" w14:textId="77777777" w:rsidR="00B47EF9" w:rsidRPr="00B47EF9" w:rsidRDefault="00B47EF9" w:rsidP="00C81982">
            <w:pPr>
              <w:rPr>
                <w:rFonts w:ascii="Arial" w:hAnsi="Arial" w:cs="Arial"/>
                <w:noProof/>
                <w:lang w:eastAsia="de-CH"/>
              </w:rPr>
            </w:pPr>
            <w:r w:rsidRPr="00B47EF9">
              <w:rPr>
                <w:rFonts w:ascii="Arial" w:hAnsi="Arial" w:cs="Arial"/>
                <w:noProof/>
                <w:lang w:eastAsia="de-CH"/>
              </w:rPr>
              <w:t>Für Rückfragen</w:t>
            </w:r>
          </w:p>
        </w:tc>
        <w:tc>
          <w:tcPr>
            <w:tcW w:w="6224" w:type="dxa"/>
            <w:tcBorders>
              <w:top w:val="single" w:sz="12" w:space="0" w:color="auto"/>
              <w:bottom w:val="single" w:sz="6" w:space="0" w:color="auto"/>
            </w:tcBorders>
            <w:vAlign w:val="center"/>
          </w:tcPr>
          <w:p w14:paraId="5370E7DF" w14:textId="47596A64" w:rsidR="0054002C" w:rsidRPr="00741501" w:rsidRDefault="00336F14" w:rsidP="00B47EF9">
            <w:pPr>
              <w:pStyle w:val="Default"/>
              <w:rPr>
                <w:sz w:val="18"/>
                <w:szCs w:val="18"/>
              </w:rPr>
            </w:pPr>
            <w:r>
              <w:rPr>
                <w:sz w:val="18"/>
                <w:szCs w:val="18"/>
              </w:rPr>
              <w:t>R</w:t>
            </w:r>
            <w:r w:rsidR="007F2875">
              <w:rPr>
                <w:sz w:val="18"/>
                <w:szCs w:val="18"/>
              </w:rPr>
              <w:t>ue</w:t>
            </w:r>
            <w:r>
              <w:rPr>
                <w:sz w:val="18"/>
                <w:szCs w:val="18"/>
              </w:rPr>
              <w:t>di Schwitter, 079 549 55 02</w:t>
            </w:r>
          </w:p>
        </w:tc>
      </w:tr>
      <w:tr w:rsidR="00B47EF9" w14:paraId="0C922500" w14:textId="77777777" w:rsidTr="00C81982">
        <w:trPr>
          <w:trHeight w:val="425"/>
        </w:trPr>
        <w:tc>
          <w:tcPr>
            <w:tcW w:w="2988" w:type="dxa"/>
            <w:tcBorders>
              <w:top w:val="single" w:sz="6" w:space="0" w:color="auto"/>
              <w:bottom w:val="single" w:sz="6" w:space="0" w:color="auto"/>
            </w:tcBorders>
            <w:vAlign w:val="center"/>
          </w:tcPr>
          <w:p w14:paraId="10D44967" w14:textId="77777777" w:rsidR="00B47EF9" w:rsidRPr="00B47EF9" w:rsidRDefault="00B47EF9">
            <w:pPr>
              <w:rPr>
                <w:rFonts w:ascii="Arial" w:hAnsi="Arial" w:cs="Arial"/>
                <w:noProof/>
                <w:lang w:eastAsia="de-CH"/>
              </w:rPr>
            </w:pPr>
            <w:r w:rsidRPr="00B47EF9">
              <w:rPr>
                <w:rFonts w:ascii="Arial" w:hAnsi="Arial" w:cs="Arial"/>
                <w:noProof/>
                <w:lang w:eastAsia="de-CH"/>
              </w:rPr>
              <w:t>Absender</w:t>
            </w:r>
          </w:p>
        </w:tc>
        <w:tc>
          <w:tcPr>
            <w:tcW w:w="6224" w:type="dxa"/>
            <w:tcBorders>
              <w:top w:val="single" w:sz="6" w:space="0" w:color="auto"/>
              <w:bottom w:val="single" w:sz="6" w:space="0" w:color="auto"/>
            </w:tcBorders>
            <w:vAlign w:val="center"/>
          </w:tcPr>
          <w:p w14:paraId="3B10BF92" w14:textId="77777777" w:rsidR="00B47EF9" w:rsidRPr="00B47EF9" w:rsidRDefault="00B47EF9">
            <w:pPr>
              <w:rPr>
                <w:noProof/>
                <w:lang w:eastAsia="de-CH"/>
              </w:rPr>
            </w:pPr>
            <w:r w:rsidRPr="00B47EF9">
              <w:rPr>
                <w:noProof/>
                <w:lang w:eastAsia="de-CH"/>
              </w:rPr>
              <w:t xml:space="preserve">glp Glarus, </w:t>
            </w:r>
            <w:r w:rsidR="0090643D">
              <w:rPr>
                <w:noProof/>
                <w:lang w:eastAsia="de-CH"/>
              </w:rPr>
              <w:t>gl</w:t>
            </w:r>
            <w:r w:rsidRPr="00B47EF9">
              <w:rPr>
                <w:noProof/>
                <w:lang w:eastAsia="de-CH"/>
              </w:rPr>
              <w:t>@grunliberale.ch</w:t>
            </w:r>
          </w:p>
        </w:tc>
      </w:tr>
      <w:tr w:rsidR="00B47EF9" w14:paraId="22245C42" w14:textId="77777777" w:rsidTr="00C81982">
        <w:trPr>
          <w:trHeight w:val="425"/>
        </w:trPr>
        <w:tc>
          <w:tcPr>
            <w:tcW w:w="2988" w:type="dxa"/>
            <w:tcBorders>
              <w:top w:val="single" w:sz="6" w:space="0" w:color="auto"/>
              <w:bottom w:val="single" w:sz="6" w:space="0" w:color="auto"/>
            </w:tcBorders>
            <w:vAlign w:val="center"/>
          </w:tcPr>
          <w:p w14:paraId="5DA2261F" w14:textId="77777777" w:rsidR="00B47EF9" w:rsidRPr="00B47EF9" w:rsidRDefault="00B47EF9">
            <w:pPr>
              <w:rPr>
                <w:rFonts w:ascii="Arial" w:hAnsi="Arial" w:cs="Arial"/>
                <w:noProof/>
                <w:lang w:eastAsia="de-CH"/>
              </w:rPr>
            </w:pPr>
            <w:r w:rsidRPr="00B47EF9">
              <w:rPr>
                <w:rFonts w:ascii="Arial" w:hAnsi="Arial" w:cs="Arial"/>
                <w:noProof/>
                <w:lang w:eastAsia="de-CH"/>
              </w:rPr>
              <w:t>Datum</w:t>
            </w:r>
          </w:p>
        </w:tc>
        <w:tc>
          <w:tcPr>
            <w:tcW w:w="6224" w:type="dxa"/>
            <w:tcBorders>
              <w:top w:val="single" w:sz="6" w:space="0" w:color="auto"/>
              <w:bottom w:val="single" w:sz="6" w:space="0" w:color="auto"/>
            </w:tcBorders>
            <w:vAlign w:val="center"/>
          </w:tcPr>
          <w:p w14:paraId="309D6B26" w14:textId="75E44B3E" w:rsidR="00B47EF9" w:rsidRPr="000C02A5" w:rsidRDefault="00C936DB" w:rsidP="00FD6E1A">
            <w:pPr>
              <w:rPr>
                <w:noProof/>
                <w:lang w:eastAsia="de-CH"/>
              </w:rPr>
            </w:pPr>
            <w:r>
              <w:rPr>
                <w:noProof/>
                <w:lang w:eastAsia="de-CH"/>
              </w:rPr>
              <w:t>15</w:t>
            </w:r>
            <w:r w:rsidR="00336F14">
              <w:rPr>
                <w:noProof/>
                <w:lang w:eastAsia="de-CH"/>
              </w:rPr>
              <w:t xml:space="preserve">. </w:t>
            </w:r>
            <w:r>
              <w:rPr>
                <w:noProof/>
                <w:lang w:eastAsia="de-CH"/>
              </w:rPr>
              <w:t>Juni</w:t>
            </w:r>
            <w:r w:rsidR="00336F14">
              <w:rPr>
                <w:noProof/>
                <w:lang w:eastAsia="de-CH"/>
              </w:rPr>
              <w:t xml:space="preserve"> 2026</w:t>
            </w:r>
          </w:p>
        </w:tc>
      </w:tr>
    </w:tbl>
    <w:p w14:paraId="4DBF03B1" w14:textId="299C4272" w:rsidR="00344405" w:rsidRPr="00FF6FF1" w:rsidRDefault="00262F23" w:rsidP="007F2875">
      <w:pPr>
        <w:jc w:val="both"/>
        <w:rPr>
          <w:rFonts w:ascii="Arial" w:hAnsi="Arial" w:cs="Arial"/>
          <w:b/>
          <w:bCs/>
          <w:sz w:val="28"/>
          <w:szCs w:val="28"/>
        </w:rPr>
      </w:pPr>
      <w:r w:rsidRPr="00FF6FF1">
        <w:rPr>
          <w:rFonts w:ascii="Arial" w:hAnsi="Arial" w:cs="Arial"/>
          <w:b/>
          <w:bCs/>
          <w:sz w:val="32"/>
          <w:szCs w:val="32"/>
        </w:rPr>
        <w:t>GLP</w:t>
      </w:r>
      <w:r w:rsidRPr="00FF6FF1">
        <w:rPr>
          <w:rFonts w:ascii="Arial" w:hAnsi="Arial" w:cs="Arial"/>
          <w:b/>
          <w:bCs/>
          <w:sz w:val="28"/>
          <w:szCs w:val="28"/>
        </w:rPr>
        <w:t xml:space="preserve"> will mehr Transparenz</w:t>
      </w:r>
    </w:p>
    <w:p w14:paraId="35BBD93E" w14:textId="7C3C5963" w:rsidR="00262F23" w:rsidRPr="00262F23" w:rsidRDefault="00262F23" w:rsidP="007F2875">
      <w:pPr>
        <w:jc w:val="both"/>
        <w:rPr>
          <w:rFonts w:ascii="Arial" w:hAnsi="Arial" w:cs="Arial"/>
          <w:i/>
          <w:iCs/>
          <w:sz w:val="24"/>
          <w:szCs w:val="24"/>
        </w:rPr>
      </w:pPr>
      <w:r w:rsidRPr="00262F23">
        <w:rPr>
          <w:rFonts w:ascii="Arial" w:hAnsi="Arial" w:cs="Arial"/>
          <w:i/>
          <w:iCs/>
          <w:sz w:val="24"/>
          <w:szCs w:val="24"/>
        </w:rPr>
        <w:t xml:space="preserve">Die </w:t>
      </w:r>
      <w:r w:rsidR="00305D74">
        <w:rPr>
          <w:rFonts w:ascii="Arial" w:hAnsi="Arial" w:cs="Arial"/>
          <w:i/>
          <w:iCs/>
          <w:sz w:val="24"/>
          <w:szCs w:val="24"/>
        </w:rPr>
        <w:t>G</w:t>
      </w:r>
      <w:r w:rsidRPr="00262F23">
        <w:rPr>
          <w:rFonts w:ascii="Arial" w:hAnsi="Arial" w:cs="Arial"/>
          <w:i/>
          <w:iCs/>
          <w:sz w:val="24"/>
          <w:szCs w:val="24"/>
        </w:rPr>
        <w:t>lp Glarus Nord diskutierte die Geschäfte der Gemeindeversammlung GL Nord intensiv und nominiert bisherige und neue Kräfte für die Wahlen.</w:t>
      </w:r>
    </w:p>
    <w:p w14:paraId="3321C9E8" w14:textId="2922C3BC" w:rsidR="007F2875" w:rsidRPr="007F2875" w:rsidRDefault="007F2875" w:rsidP="007F2875">
      <w:pPr>
        <w:jc w:val="both"/>
        <w:rPr>
          <w:rFonts w:ascii="Arial" w:hAnsi="Arial" w:cs="Arial"/>
          <w:b/>
          <w:bCs/>
          <w:sz w:val="24"/>
          <w:szCs w:val="24"/>
        </w:rPr>
      </w:pPr>
      <w:r w:rsidRPr="007F2875">
        <w:rPr>
          <w:rFonts w:ascii="Arial" w:hAnsi="Arial" w:cs="Arial"/>
          <w:b/>
          <w:bCs/>
          <w:sz w:val="24"/>
          <w:szCs w:val="24"/>
        </w:rPr>
        <w:t>Positive Jahresrechnung mit kritischen Anmerkungen</w:t>
      </w:r>
    </w:p>
    <w:p w14:paraId="324B9DCD" w14:textId="2B900B6B" w:rsidR="007F2875" w:rsidRPr="007F2875" w:rsidRDefault="00305D74" w:rsidP="007F2875">
      <w:pPr>
        <w:jc w:val="both"/>
        <w:rPr>
          <w:rFonts w:ascii="Arial" w:hAnsi="Arial" w:cs="Arial"/>
          <w:sz w:val="24"/>
          <w:szCs w:val="24"/>
        </w:rPr>
      </w:pPr>
      <w:r>
        <w:rPr>
          <w:rFonts w:ascii="Arial" w:hAnsi="Arial" w:cs="Arial"/>
          <w:sz w:val="24"/>
          <w:szCs w:val="24"/>
        </w:rPr>
        <w:t xml:space="preserve">Die Glp </w:t>
      </w:r>
      <w:r w:rsidR="007F2875" w:rsidRPr="007F2875">
        <w:rPr>
          <w:rFonts w:ascii="Arial" w:hAnsi="Arial" w:cs="Arial"/>
          <w:sz w:val="24"/>
          <w:szCs w:val="24"/>
        </w:rPr>
        <w:t>nimmt die Jahresrechnung 2025 der Gemeinde erfreut zur Kenntnis. Der positive Jahresabschluss zeigt, dass die Gemeinde finanziell auf einer soliden Basis steht und Herausforderungen erfolgreich bewältigt werden können.</w:t>
      </w:r>
    </w:p>
    <w:p w14:paraId="19F1971E" w14:textId="12872AC6" w:rsidR="007F2875" w:rsidRPr="007F2875" w:rsidRDefault="007F2875" w:rsidP="007F2875">
      <w:pPr>
        <w:jc w:val="both"/>
        <w:rPr>
          <w:rFonts w:ascii="Arial" w:hAnsi="Arial" w:cs="Arial"/>
          <w:sz w:val="24"/>
          <w:szCs w:val="24"/>
        </w:rPr>
      </w:pPr>
      <w:r w:rsidRPr="007F2875">
        <w:rPr>
          <w:rFonts w:ascii="Arial" w:hAnsi="Arial" w:cs="Arial"/>
          <w:sz w:val="24"/>
          <w:szCs w:val="24"/>
        </w:rPr>
        <w:t xml:space="preserve">Einen Wehrmutstropfen stellt jedoch der Verlust aus den Bodenverkäufen dar. Dieser Verlust ist aus Sicht der </w:t>
      </w:r>
      <w:r w:rsidR="00305D74">
        <w:rPr>
          <w:rFonts w:ascii="Arial" w:hAnsi="Arial" w:cs="Arial"/>
          <w:sz w:val="24"/>
          <w:szCs w:val="24"/>
        </w:rPr>
        <w:t>G</w:t>
      </w:r>
      <w:r w:rsidRPr="007F2875">
        <w:rPr>
          <w:rFonts w:ascii="Arial" w:hAnsi="Arial" w:cs="Arial"/>
          <w:sz w:val="24"/>
          <w:szCs w:val="24"/>
        </w:rPr>
        <w:t>lp die Folge einer früher vorgenommenen Wertberichtigung, welche die entsprechenden Grundstücke in der Bilanz deutlich zu hoch bewertete. Nun zeigt sich, dass die damaligen Annahmen zu optimistisch waren und die tatsächlichen Verkaufserlöse die bilanzierten Werte nicht erreichen konnten.</w:t>
      </w:r>
    </w:p>
    <w:p w14:paraId="643F24FA" w14:textId="45CFB219" w:rsidR="007F2875" w:rsidRPr="007F2875" w:rsidRDefault="007F2875" w:rsidP="007F2875">
      <w:pPr>
        <w:jc w:val="both"/>
        <w:rPr>
          <w:rFonts w:ascii="Arial" w:hAnsi="Arial" w:cs="Arial"/>
          <w:sz w:val="24"/>
          <w:szCs w:val="24"/>
        </w:rPr>
      </w:pPr>
      <w:r w:rsidRPr="007F2875">
        <w:rPr>
          <w:rFonts w:ascii="Arial" w:hAnsi="Arial" w:cs="Arial"/>
          <w:sz w:val="24"/>
          <w:szCs w:val="24"/>
        </w:rPr>
        <w:t xml:space="preserve">Nicht einverstanden ist die </w:t>
      </w:r>
      <w:r w:rsidR="00305D74">
        <w:rPr>
          <w:rFonts w:ascii="Arial" w:hAnsi="Arial" w:cs="Arial"/>
          <w:sz w:val="24"/>
          <w:szCs w:val="24"/>
        </w:rPr>
        <w:t>G</w:t>
      </w:r>
      <w:r w:rsidRPr="007F2875">
        <w:rPr>
          <w:rFonts w:ascii="Arial" w:hAnsi="Arial" w:cs="Arial"/>
          <w:sz w:val="24"/>
          <w:szCs w:val="24"/>
        </w:rPr>
        <w:t xml:space="preserve">lp mit dem Vorschlag, diesen Verlust über die finanzpolitische Reserve auszugleichen. Dies widerspricht aus unserer Sicht dem Grundsatz einer transparenten und nachvollziehbaren Rechnungslegung gemäss HRM2. Verluste sollen dort ausgewiesen werden, wo sie entstehen. Die </w:t>
      </w:r>
      <w:r w:rsidR="00305D74">
        <w:rPr>
          <w:rFonts w:ascii="Arial" w:hAnsi="Arial" w:cs="Arial"/>
          <w:sz w:val="24"/>
          <w:szCs w:val="24"/>
        </w:rPr>
        <w:t>G</w:t>
      </w:r>
      <w:r w:rsidRPr="007F2875">
        <w:rPr>
          <w:rFonts w:ascii="Arial" w:hAnsi="Arial" w:cs="Arial"/>
          <w:sz w:val="24"/>
          <w:szCs w:val="24"/>
        </w:rPr>
        <w:t>lp unterstützt deshalb den Antrag der Geschäftsprüfungskommission (GPK), auf eine entsprechende Verrechnung zu verzichten.</w:t>
      </w:r>
    </w:p>
    <w:p w14:paraId="657A64CF" w14:textId="77777777" w:rsidR="007F2875" w:rsidRPr="007F2875" w:rsidRDefault="007F2875" w:rsidP="007F2875">
      <w:pPr>
        <w:jc w:val="both"/>
        <w:rPr>
          <w:rFonts w:ascii="Arial" w:hAnsi="Arial" w:cs="Arial"/>
          <w:b/>
          <w:bCs/>
          <w:sz w:val="24"/>
          <w:szCs w:val="24"/>
        </w:rPr>
      </w:pPr>
      <w:r w:rsidRPr="007F2875">
        <w:rPr>
          <w:rFonts w:ascii="Arial" w:hAnsi="Arial" w:cs="Arial"/>
          <w:b/>
          <w:bCs/>
          <w:sz w:val="24"/>
          <w:szCs w:val="24"/>
        </w:rPr>
        <w:t>Entwicklungsmöglichkeit für die Gabriel AG</w:t>
      </w:r>
    </w:p>
    <w:p w14:paraId="237A38CF" w14:textId="5AB19000" w:rsidR="007F2875" w:rsidRPr="007F2875" w:rsidRDefault="007F2875" w:rsidP="007F2875">
      <w:pPr>
        <w:jc w:val="both"/>
        <w:rPr>
          <w:rFonts w:ascii="Arial" w:hAnsi="Arial" w:cs="Arial"/>
          <w:sz w:val="24"/>
          <w:szCs w:val="24"/>
        </w:rPr>
      </w:pPr>
      <w:r w:rsidRPr="007F2875">
        <w:rPr>
          <w:rFonts w:ascii="Arial" w:hAnsi="Arial" w:cs="Arial"/>
          <w:sz w:val="24"/>
          <w:szCs w:val="24"/>
        </w:rPr>
        <w:t xml:space="preserve">Die geplante Abgabe von Land im Baurecht an die Gabriel AG wird von der </w:t>
      </w:r>
      <w:r w:rsidR="00305D74">
        <w:rPr>
          <w:rFonts w:ascii="Arial" w:hAnsi="Arial" w:cs="Arial"/>
          <w:sz w:val="24"/>
          <w:szCs w:val="24"/>
        </w:rPr>
        <w:t>G</w:t>
      </w:r>
      <w:r w:rsidRPr="007F2875">
        <w:rPr>
          <w:rFonts w:ascii="Arial" w:hAnsi="Arial" w:cs="Arial"/>
          <w:sz w:val="24"/>
          <w:szCs w:val="24"/>
        </w:rPr>
        <w:t>lp unterstützt. Damit erhält ein traditionsreiches Glarner Unternehmen die Möglichkeit, sich weiterzuentwickeln und langfristig Arbeitsplätze in der Region zu sichern. Die Vorlage stärkt den Wirtschaftsstandort Glarus Nord und schafft Perspektiven für die Zukunft.</w:t>
      </w:r>
    </w:p>
    <w:p w14:paraId="22E22E59" w14:textId="77777777" w:rsidR="007F2875" w:rsidRPr="007F2875" w:rsidRDefault="007F2875" w:rsidP="007F2875">
      <w:pPr>
        <w:jc w:val="both"/>
        <w:rPr>
          <w:rFonts w:ascii="Arial" w:hAnsi="Arial" w:cs="Arial"/>
          <w:b/>
          <w:bCs/>
          <w:sz w:val="24"/>
          <w:szCs w:val="24"/>
        </w:rPr>
      </w:pPr>
      <w:r w:rsidRPr="007F2875">
        <w:rPr>
          <w:rFonts w:ascii="Arial" w:hAnsi="Arial" w:cs="Arial"/>
          <w:b/>
          <w:bCs/>
          <w:sz w:val="24"/>
          <w:szCs w:val="24"/>
        </w:rPr>
        <w:t>Änderungen der Gemeindeordnung ungenügend kommuniziert</w:t>
      </w:r>
    </w:p>
    <w:p w14:paraId="5A18DB4E" w14:textId="17F7E543" w:rsidR="007F2875" w:rsidRPr="007F2875" w:rsidRDefault="007F2875" w:rsidP="007F2875">
      <w:pPr>
        <w:jc w:val="both"/>
        <w:rPr>
          <w:rFonts w:ascii="Arial" w:hAnsi="Arial" w:cs="Arial"/>
          <w:sz w:val="24"/>
          <w:szCs w:val="24"/>
        </w:rPr>
      </w:pPr>
      <w:r w:rsidRPr="007F2875">
        <w:rPr>
          <w:rFonts w:ascii="Arial" w:hAnsi="Arial" w:cs="Arial"/>
          <w:sz w:val="24"/>
          <w:szCs w:val="24"/>
        </w:rPr>
        <w:t xml:space="preserve">Kritisch beurteilt die </w:t>
      </w:r>
      <w:r w:rsidR="00305D74">
        <w:rPr>
          <w:rFonts w:ascii="Arial" w:hAnsi="Arial" w:cs="Arial"/>
          <w:sz w:val="24"/>
          <w:szCs w:val="24"/>
        </w:rPr>
        <w:t>G</w:t>
      </w:r>
      <w:r w:rsidRPr="007F2875">
        <w:rPr>
          <w:rFonts w:ascii="Arial" w:hAnsi="Arial" w:cs="Arial"/>
          <w:sz w:val="24"/>
          <w:szCs w:val="24"/>
        </w:rPr>
        <w:t xml:space="preserve">lp die Informationstätigkeit der Gemeinde im Vorfeld der Gemeindeversammlung. Am Informationsanlass wurde aus Sicht der </w:t>
      </w:r>
      <w:r w:rsidR="00305D74">
        <w:rPr>
          <w:rFonts w:ascii="Arial" w:hAnsi="Arial" w:cs="Arial"/>
          <w:sz w:val="24"/>
          <w:szCs w:val="24"/>
        </w:rPr>
        <w:t>G</w:t>
      </w:r>
      <w:r w:rsidRPr="007F2875">
        <w:rPr>
          <w:rFonts w:ascii="Arial" w:hAnsi="Arial" w:cs="Arial"/>
          <w:sz w:val="24"/>
          <w:szCs w:val="24"/>
        </w:rPr>
        <w:t xml:space="preserve">lp zu wenig auf </w:t>
      </w:r>
      <w:r w:rsidRPr="007F2875">
        <w:rPr>
          <w:rFonts w:ascii="Arial" w:hAnsi="Arial" w:cs="Arial"/>
          <w:sz w:val="24"/>
          <w:szCs w:val="24"/>
        </w:rPr>
        <w:lastRenderedPageBreak/>
        <w:t>die anstehenden Änderungen der Gemeindeordnung eingegangen, obwohl diese insbesondere den Bereich Bildung betreffen und damit von grosser Bedeutung für die Bevölkerung sind.</w:t>
      </w:r>
    </w:p>
    <w:p w14:paraId="06A22A6A" w14:textId="072FEB90" w:rsidR="007F2875" w:rsidRPr="007F2875" w:rsidRDefault="007F2875" w:rsidP="007F2875">
      <w:pPr>
        <w:jc w:val="both"/>
        <w:rPr>
          <w:rFonts w:ascii="Arial" w:hAnsi="Arial" w:cs="Arial"/>
          <w:sz w:val="24"/>
          <w:szCs w:val="24"/>
        </w:rPr>
      </w:pPr>
      <w:r w:rsidRPr="00FF6FF1">
        <w:rPr>
          <w:rFonts w:ascii="Arial" w:hAnsi="Arial" w:cs="Arial"/>
          <w:sz w:val="24"/>
          <w:szCs w:val="24"/>
        </w:rPr>
        <w:t xml:space="preserve">Die </w:t>
      </w:r>
      <w:r w:rsidR="00305D74">
        <w:rPr>
          <w:rFonts w:ascii="Arial" w:hAnsi="Arial" w:cs="Arial"/>
          <w:sz w:val="24"/>
          <w:szCs w:val="24"/>
        </w:rPr>
        <w:t>G</w:t>
      </w:r>
      <w:r w:rsidRPr="00FF6FF1">
        <w:rPr>
          <w:rFonts w:ascii="Arial" w:hAnsi="Arial" w:cs="Arial"/>
          <w:sz w:val="24"/>
          <w:szCs w:val="24"/>
        </w:rPr>
        <w:t>lp wird deshalb an der Gemeindeversammlung einen Antrag stellen, um die notwendige Transparenz sicherzustellen.</w:t>
      </w:r>
    </w:p>
    <w:p w14:paraId="1641C747" w14:textId="77777777" w:rsidR="007F2875" w:rsidRPr="007F2875" w:rsidRDefault="007F2875" w:rsidP="007F2875">
      <w:pPr>
        <w:jc w:val="both"/>
        <w:rPr>
          <w:rFonts w:ascii="Arial" w:hAnsi="Arial" w:cs="Arial"/>
          <w:b/>
          <w:bCs/>
          <w:sz w:val="24"/>
          <w:szCs w:val="24"/>
        </w:rPr>
      </w:pPr>
      <w:r w:rsidRPr="007F2875">
        <w:rPr>
          <w:rFonts w:ascii="Arial" w:hAnsi="Arial" w:cs="Arial"/>
          <w:b/>
          <w:bCs/>
          <w:sz w:val="24"/>
          <w:szCs w:val="24"/>
        </w:rPr>
        <w:t>Unterstützung für gemeinsames Projekt von Bildung und Feuerwehr</w:t>
      </w:r>
    </w:p>
    <w:p w14:paraId="7486AD0E" w14:textId="22579330" w:rsidR="007F2875" w:rsidRPr="007F2875" w:rsidRDefault="007F2875" w:rsidP="007F2875">
      <w:pPr>
        <w:jc w:val="both"/>
        <w:rPr>
          <w:rFonts w:ascii="Arial" w:hAnsi="Arial" w:cs="Arial"/>
          <w:sz w:val="24"/>
          <w:szCs w:val="24"/>
        </w:rPr>
      </w:pPr>
      <w:r w:rsidRPr="007F2875">
        <w:rPr>
          <w:rFonts w:ascii="Arial" w:hAnsi="Arial" w:cs="Arial"/>
          <w:sz w:val="24"/>
          <w:szCs w:val="24"/>
        </w:rPr>
        <w:t xml:space="preserve">Die </w:t>
      </w:r>
      <w:r w:rsidR="00305D74">
        <w:rPr>
          <w:rFonts w:ascii="Arial" w:hAnsi="Arial" w:cs="Arial"/>
          <w:sz w:val="24"/>
          <w:szCs w:val="24"/>
        </w:rPr>
        <w:t>G</w:t>
      </w:r>
      <w:r w:rsidRPr="007F2875">
        <w:rPr>
          <w:rFonts w:ascii="Arial" w:hAnsi="Arial" w:cs="Arial"/>
          <w:sz w:val="24"/>
          <w:szCs w:val="24"/>
        </w:rPr>
        <w:t xml:space="preserve">lp unterstützt den Baukredit für das gemeinsame Projekt der Bildung und der Feuerwehr in </w:t>
      </w:r>
      <w:proofErr w:type="spellStart"/>
      <w:r w:rsidRPr="007F2875">
        <w:rPr>
          <w:rFonts w:ascii="Arial" w:hAnsi="Arial" w:cs="Arial"/>
          <w:sz w:val="24"/>
          <w:szCs w:val="24"/>
        </w:rPr>
        <w:t>Obstalden</w:t>
      </w:r>
      <w:proofErr w:type="spellEnd"/>
      <w:r w:rsidRPr="007F2875">
        <w:rPr>
          <w:rFonts w:ascii="Arial" w:hAnsi="Arial" w:cs="Arial"/>
          <w:sz w:val="24"/>
          <w:szCs w:val="24"/>
        </w:rPr>
        <w:t xml:space="preserve">. Seit 2016 wird nach einer Lösung gesucht, damit die Feuerwehr </w:t>
      </w:r>
      <w:proofErr w:type="spellStart"/>
      <w:r w:rsidRPr="007F2875">
        <w:rPr>
          <w:rFonts w:ascii="Arial" w:hAnsi="Arial" w:cs="Arial"/>
          <w:sz w:val="24"/>
          <w:szCs w:val="24"/>
        </w:rPr>
        <w:t>Kerenzen</w:t>
      </w:r>
      <w:proofErr w:type="spellEnd"/>
      <w:r w:rsidRPr="007F2875">
        <w:rPr>
          <w:rFonts w:ascii="Arial" w:hAnsi="Arial" w:cs="Arial"/>
          <w:sz w:val="24"/>
          <w:szCs w:val="24"/>
        </w:rPr>
        <w:t xml:space="preserve"> die Anforderungen und Einsatzvorgaben des Schweizerischen Feuerwehrverbandes erfüllen kann.</w:t>
      </w:r>
    </w:p>
    <w:p w14:paraId="6DA9F01D" w14:textId="77777777" w:rsidR="007F2875" w:rsidRPr="007F2875" w:rsidRDefault="007F2875" w:rsidP="007F2875">
      <w:pPr>
        <w:jc w:val="both"/>
        <w:rPr>
          <w:rFonts w:ascii="Arial" w:hAnsi="Arial" w:cs="Arial"/>
          <w:sz w:val="24"/>
          <w:szCs w:val="24"/>
        </w:rPr>
      </w:pPr>
      <w:r w:rsidRPr="007F2875">
        <w:rPr>
          <w:rFonts w:ascii="Arial" w:hAnsi="Arial" w:cs="Arial"/>
          <w:sz w:val="24"/>
          <w:szCs w:val="24"/>
        </w:rPr>
        <w:t>Mit der vorgesehenen Kombination aus Feuerwehrinfrastruktur und Tagesstrukturangebot im Erdgeschoss entsteht eine sinnvolle Win-Win-Situation. Die gemeinsame Nutzung schafft Synergien und ermöglicht eine wirtschaftliche Lösung. Alternative Standorte wurden geprüft, haben sich jedoch als nicht realisierbar erwiesen.</w:t>
      </w:r>
    </w:p>
    <w:p w14:paraId="2B6D7675" w14:textId="77777777" w:rsidR="007F2875" w:rsidRPr="00C14FBE" w:rsidRDefault="007F2875" w:rsidP="007F2875">
      <w:pPr>
        <w:jc w:val="both"/>
        <w:rPr>
          <w:rFonts w:ascii="Arial" w:hAnsi="Arial" w:cs="Arial"/>
          <w:b/>
          <w:bCs/>
          <w:sz w:val="24"/>
          <w:szCs w:val="24"/>
        </w:rPr>
      </w:pPr>
      <w:r w:rsidRPr="00C14FBE">
        <w:rPr>
          <w:rFonts w:ascii="Arial" w:hAnsi="Arial" w:cs="Arial"/>
          <w:b/>
          <w:bCs/>
          <w:sz w:val="24"/>
          <w:szCs w:val="24"/>
        </w:rPr>
        <w:t>Gratulation an APGN und TBGN</w:t>
      </w:r>
    </w:p>
    <w:p w14:paraId="21662BF7" w14:textId="336C1A09" w:rsidR="007F2875" w:rsidRPr="007F2875" w:rsidRDefault="007F2875" w:rsidP="007F2875">
      <w:pPr>
        <w:jc w:val="both"/>
        <w:rPr>
          <w:rFonts w:ascii="Arial" w:hAnsi="Arial" w:cs="Arial"/>
          <w:sz w:val="24"/>
          <w:szCs w:val="24"/>
        </w:rPr>
      </w:pPr>
      <w:r w:rsidRPr="007F2875">
        <w:rPr>
          <w:rFonts w:ascii="Arial" w:hAnsi="Arial" w:cs="Arial"/>
          <w:sz w:val="24"/>
          <w:szCs w:val="24"/>
        </w:rPr>
        <w:t xml:space="preserve">Die </w:t>
      </w:r>
      <w:r w:rsidR="003265AB">
        <w:rPr>
          <w:rFonts w:ascii="Arial" w:hAnsi="Arial" w:cs="Arial"/>
          <w:sz w:val="24"/>
          <w:szCs w:val="24"/>
        </w:rPr>
        <w:t>G</w:t>
      </w:r>
      <w:r w:rsidRPr="007F2875">
        <w:rPr>
          <w:rFonts w:ascii="Arial" w:hAnsi="Arial" w:cs="Arial"/>
          <w:sz w:val="24"/>
          <w:szCs w:val="24"/>
        </w:rPr>
        <w:t>lp gratuliert den gemeindeeigenen Anstalten Alters- und Pflegeheime Glarus Nord (APGN) sowie Technische</w:t>
      </w:r>
      <w:r w:rsidR="003265AB">
        <w:rPr>
          <w:rFonts w:ascii="Arial" w:hAnsi="Arial" w:cs="Arial"/>
          <w:sz w:val="24"/>
          <w:szCs w:val="24"/>
        </w:rPr>
        <w:t>n</w:t>
      </w:r>
      <w:r w:rsidRPr="007F2875">
        <w:rPr>
          <w:rFonts w:ascii="Arial" w:hAnsi="Arial" w:cs="Arial"/>
          <w:sz w:val="24"/>
          <w:szCs w:val="24"/>
        </w:rPr>
        <w:t xml:space="preserve"> Betriebe Glarus Nord (TBGN) zu ihren erfreulichen Jahresabschlüssen und der erfolgreichen Geschäftstätigkeit.</w:t>
      </w:r>
    </w:p>
    <w:p w14:paraId="67B164D1" w14:textId="77777777" w:rsidR="007F2875" w:rsidRPr="007F2875" w:rsidRDefault="007F2875" w:rsidP="007F2875">
      <w:pPr>
        <w:jc w:val="both"/>
        <w:rPr>
          <w:rFonts w:ascii="Arial" w:hAnsi="Arial" w:cs="Arial"/>
          <w:sz w:val="24"/>
          <w:szCs w:val="24"/>
        </w:rPr>
      </w:pPr>
      <w:r w:rsidRPr="007F2875">
        <w:rPr>
          <w:rFonts w:ascii="Arial" w:hAnsi="Arial" w:cs="Arial"/>
          <w:sz w:val="24"/>
          <w:szCs w:val="24"/>
        </w:rPr>
        <w:t xml:space="preserve">Bedauerlich ist hingegen, dass die Jahreszahlen der </w:t>
      </w:r>
      <w:proofErr w:type="spellStart"/>
      <w:r w:rsidRPr="007F2875">
        <w:rPr>
          <w:rFonts w:ascii="Arial" w:hAnsi="Arial" w:cs="Arial"/>
          <w:sz w:val="24"/>
          <w:szCs w:val="24"/>
        </w:rPr>
        <w:t>Lintharena</w:t>
      </w:r>
      <w:proofErr w:type="spellEnd"/>
      <w:r w:rsidRPr="007F2875">
        <w:rPr>
          <w:rFonts w:ascii="Arial" w:hAnsi="Arial" w:cs="Arial"/>
          <w:sz w:val="24"/>
          <w:szCs w:val="24"/>
        </w:rPr>
        <w:t xml:space="preserve"> nicht gleichzeitig vorgelegt werden. Auch die </w:t>
      </w:r>
      <w:proofErr w:type="spellStart"/>
      <w:r w:rsidRPr="007F2875">
        <w:rPr>
          <w:rFonts w:ascii="Arial" w:hAnsi="Arial" w:cs="Arial"/>
          <w:sz w:val="24"/>
          <w:szCs w:val="24"/>
        </w:rPr>
        <w:t>Lintharena</w:t>
      </w:r>
      <w:proofErr w:type="spellEnd"/>
      <w:r w:rsidRPr="007F2875">
        <w:rPr>
          <w:rFonts w:ascii="Arial" w:hAnsi="Arial" w:cs="Arial"/>
          <w:sz w:val="24"/>
          <w:szCs w:val="24"/>
        </w:rPr>
        <w:t xml:space="preserve"> befindet sich vollständig im Eigentum der Gemeinde. Für eine umfassende Beurteilung der finanziellen Situation der gemeindeeigenen Betriebe wäre eine gleichzeitige Berichterstattung wünschenswert.</w:t>
      </w:r>
    </w:p>
    <w:p w14:paraId="6804DD57" w14:textId="77777777" w:rsidR="00FF6FF1" w:rsidRPr="00FF6FF1" w:rsidRDefault="00FF6FF1" w:rsidP="00FF6FF1">
      <w:pPr>
        <w:jc w:val="both"/>
        <w:rPr>
          <w:rFonts w:ascii="Arial" w:hAnsi="Arial" w:cs="Arial"/>
          <w:b/>
          <w:bCs/>
          <w:sz w:val="24"/>
          <w:szCs w:val="24"/>
        </w:rPr>
      </w:pPr>
      <w:r w:rsidRPr="00FF6FF1">
        <w:rPr>
          <w:rFonts w:ascii="Arial" w:hAnsi="Arial" w:cs="Arial"/>
          <w:b/>
          <w:bCs/>
          <w:sz w:val="24"/>
          <w:szCs w:val="24"/>
        </w:rPr>
        <w:t>Nutzungsplanung: rechtlich saubere Verfahren sicherstellen</w:t>
      </w:r>
    </w:p>
    <w:p w14:paraId="66AC0F91" w14:textId="77777777" w:rsidR="004B382E" w:rsidRDefault="00FF6FF1" w:rsidP="00FF6FF1">
      <w:pPr>
        <w:jc w:val="both"/>
        <w:rPr>
          <w:rFonts w:ascii="Arial" w:hAnsi="Arial" w:cs="Arial"/>
          <w:sz w:val="24"/>
          <w:szCs w:val="24"/>
        </w:rPr>
      </w:pPr>
      <w:r w:rsidRPr="00FF6FF1">
        <w:rPr>
          <w:rFonts w:ascii="Arial" w:hAnsi="Arial" w:cs="Arial"/>
          <w:sz w:val="24"/>
          <w:szCs w:val="24"/>
        </w:rPr>
        <w:t xml:space="preserve">Die </w:t>
      </w:r>
      <w:r w:rsidR="003265AB">
        <w:rPr>
          <w:rFonts w:ascii="Arial" w:hAnsi="Arial" w:cs="Arial"/>
          <w:sz w:val="24"/>
          <w:szCs w:val="24"/>
        </w:rPr>
        <w:t>G</w:t>
      </w:r>
      <w:r w:rsidRPr="00FF6FF1">
        <w:rPr>
          <w:rFonts w:ascii="Arial" w:hAnsi="Arial" w:cs="Arial"/>
          <w:sz w:val="24"/>
          <w:szCs w:val="24"/>
        </w:rPr>
        <w:t>lp stellt fest, dass im Rahmen des Arbeitspakets 1 zu Gewässer-, Umwelt- und Naturschutz mehrere Anträge vom Kanton nicht genehmigt werden konnten, da sie rechtlich unzulässig waren.</w:t>
      </w:r>
      <w:r w:rsidR="004B382E">
        <w:rPr>
          <w:rFonts w:ascii="Arial" w:hAnsi="Arial" w:cs="Arial"/>
          <w:sz w:val="24"/>
          <w:szCs w:val="24"/>
        </w:rPr>
        <w:t xml:space="preserve"> </w:t>
      </w:r>
      <w:r w:rsidRPr="00FF6FF1">
        <w:rPr>
          <w:rFonts w:ascii="Arial" w:hAnsi="Arial" w:cs="Arial"/>
          <w:sz w:val="24"/>
          <w:szCs w:val="24"/>
        </w:rPr>
        <w:t xml:space="preserve">Das Gemeindegesetz verpflichtet den Gemeinderat, unzulässige Anträge nicht zur Beschlussfassung vorzulegen. Trotzdem gelangen am 22. Juni erneut Vorlagen zur Abstimmung, die teilweise im Widerspruch zu kantonalen Schutzbeschlüssen stehen (z.B. </w:t>
      </w:r>
      <w:proofErr w:type="spellStart"/>
      <w:r w:rsidRPr="00FF6FF1">
        <w:rPr>
          <w:rFonts w:ascii="Arial" w:hAnsi="Arial" w:cs="Arial"/>
          <w:sz w:val="24"/>
          <w:szCs w:val="24"/>
        </w:rPr>
        <w:t>Chli</w:t>
      </w:r>
      <w:proofErr w:type="spellEnd"/>
      <w:r w:rsidRPr="00FF6FF1">
        <w:rPr>
          <w:rFonts w:ascii="Arial" w:hAnsi="Arial" w:cs="Arial"/>
          <w:sz w:val="24"/>
          <w:szCs w:val="24"/>
        </w:rPr>
        <w:t xml:space="preserve"> </w:t>
      </w:r>
      <w:proofErr w:type="spellStart"/>
      <w:r w:rsidRPr="00FF6FF1">
        <w:rPr>
          <w:rFonts w:ascii="Arial" w:hAnsi="Arial" w:cs="Arial"/>
          <w:sz w:val="24"/>
          <w:szCs w:val="24"/>
        </w:rPr>
        <w:t>Gäsitschachen</w:t>
      </w:r>
      <w:proofErr w:type="spellEnd"/>
      <w:r w:rsidRPr="00FF6FF1">
        <w:rPr>
          <w:rFonts w:ascii="Arial" w:hAnsi="Arial" w:cs="Arial"/>
          <w:sz w:val="24"/>
          <w:szCs w:val="24"/>
        </w:rPr>
        <w:t>).</w:t>
      </w:r>
    </w:p>
    <w:p w14:paraId="5C085C42" w14:textId="5463A510" w:rsidR="00FF6FF1" w:rsidRPr="00FF6FF1" w:rsidRDefault="004B382E" w:rsidP="00FF6FF1">
      <w:pPr>
        <w:jc w:val="both"/>
        <w:rPr>
          <w:rFonts w:ascii="Arial" w:hAnsi="Arial" w:cs="Arial"/>
          <w:sz w:val="24"/>
          <w:szCs w:val="24"/>
        </w:rPr>
      </w:pPr>
      <w:r w:rsidRPr="00FF6FF1">
        <w:rPr>
          <w:rFonts w:ascii="Arial" w:hAnsi="Arial" w:cs="Arial"/>
          <w:sz w:val="24"/>
          <w:szCs w:val="24"/>
        </w:rPr>
        <w:t xml:space="preserve">Die Gemeindeversammlung soll sich aus Sicht der </w:t>
      </w:r>
      <w:r>
        <w:rPr>
          <w:rFonts w:ascii="Arial" w:hAnsi="Arial" w:cs="Arial"/>
          <w:sz w:val="24"/>
          <w:szCs w:val="24"/>
        </w:rPr>
        <w:t>G</w:t>
      </w:r>
      <w:r w:rsidRPr="00FF6FF1">
        <w:rPr>
          <w:rFonts w:ascii="Arial" w:hAnsi="Arial" w:cs="Arial"/>
          <w:sz w:val="24"/>
          <w:szCs w:val="24"/>
        </w:rPr>
        <w:t>lp auf rechtlich zulässige Geschäfte konzentrieren.</w:t>
      </w:r>
      <w:r>
        <w:rPr>
          <w:rFonts w:ascii="Arial" w:hAnsi="Arial" w:cs="Arial"/>
          <w:sz w:val="24"/>
          <w:szCs w:val="24"/>
        </w:rPr>
        <w:t xml:space="preserve"> Die genannten</w:t>
      </w:r>
      <w:r w:rsidR="00FF6FF1" w:rsidRPr="00FF6FF1">
        <w:rPr>
          <w:rFonts w:ascii="Arial" w:hAnsi="Arial" w:cs="Arial"/>
          <w:sz w:val="24"/>
          <w:szCs w:val="24"/>
        </w:rPr>
        <w:t xml:space="preserve"> Geschäfte sind konsequent abzulehnen, um unnötige Verfahren, Mehrkosten und wiederholte Behandlungsschlaufen zu vermeiden. Der Gemeinderat trägt die Verantwortung für gesetzeskonforme und effiziente Prozesse.</w:t>
      </w:r>
    </w:p>
    <w:p w14:paraId="47C83E32" w14:textId="25D00103" w:rsidR="00FF6FF1" w:rsidRPr="00FF6FF1" w:rsidRDefault="00FF6FF1" w:rsidP="00FF6FF1">
      <w:pPr>
        <w:jc w:val="both"/>
        <w:rPr>
          <w:rFonts w:ascii="Arial" w:hAnsi="Arial" w:cs="Arial"/>
          <w:sz w:val="24"/>
          <w:szCs w:val="24"/>
        </w:rPr>
      </w:pPr>
      <w:r w:rsidRPr="00FF6FF1">
        <w:rPr>
          <w:rFonts w:ascii="Arial" w:hAnsi="Arial" w:cs="Arial"/>
          <w:sz w:val="24"/>
          <w:szCs w:val="24"/>
        </w:rPr>
        <w:t xml:space="preserve">Die </w:t>
      </w:r>
      <w:r w:rsidR="004B382E">
        <w:rPr>
          <w:rFonts w:ascii="Arial" w:hAnsi="Arial" w:cs="Arial"/>
          <w:sz w:val="24"/>
          <w:szCs w:val="24"/>
        </w:rPr>
        <w:t>G</w:t>
      </w:r>
      <w:r w:rsidRPr="00FF6FF1">
        <w:rPr>
          <w:rFonts w:ascii="Arial" w:hAnsi="Arial" w:cs="Arial"/>
          <w:sz w:val="24"/>
          <w:szCs w:val="24"/>
        </w:rPr>
        <w:t>lp fordert daher eine Überarbeitung des NUP-Prozesses und eine stärkere rechtliche Vorprüfung. Ziel ist es, Gemeindeversammlungen und Verwaltung von nicht umsetzbaren Geschäften zu entlasten.</w:t>
      </w:r>
    </w:p>
    <w:p w14:paraId="076F0FED" w14:textId="77777777" w:rsidR="007F2875" w:rsidRPr="007F2875" w:rsidRDefault="007F2875" w:rsidP="007F2875">
      <w:pPr>
        <w:jc w:val="both"/>
        <w:rPr>
          <w:rFonts w:ascii="Arial" w:hAnsi="Arial" w:cs="Arial"/>
          <w:b/>
          <w:bCs/>
          <w:sz w:val="24"/>
          <w:szCs w:val="24"/>
        </w:rPr>
      </w:pPr>
      <w:r w:rsidRPr="007F2875">
        <w:rPr>
          <w:rFonts w:ascii="Arial" w:hAnsi="Arial" w:cs="Arial"/>
          <w:b/>
          <w:bCs/>
          <w:sz w:val="24"/>
          <w:szCs w:val="24"/>
        </w:rPr>
        <w:lastRenderedPageBreak/>
        <w:t>glp Glarus Nord</w:t>
      </w:r>
    </w:p>
    <w:p w14:paraId="0F2B9875" w14:textId="5A862535" w:rsidR="00E4570A" w:rsidRPr="00E4570A" w:rsidRDefault="00E4570A" w:rsidP="00E4570A">
      <w:pPr>
        <w:jc w:val="both"/>
        <w:rPr>
          <w:rFonts w:ascii="Arial" w:hAnsi="Arial" w:cs="Arial"/>
          <w:sz w:val="24"/>
          <w:szCs w:val="24"/>
        </w:rPr>
      </w:pPr>
      <w:r>
        <w:rPr>
          <w:rFonts w:ascii="Arial" w:hAnsi="Arial" w:cs="Arial"/>
          <w:sz w:val="24"/>
          <w:szCs w:val="24"/>
        </w:rPr>
        <w:t>Ruedi Schwitter</w:t>
      </w:r>
    </w:p>
    <w:p w14:paraId="51076C01" w14:textId="477FB6D4" w:rsidR="0001714B" w:rsidRPr="00E4570A" w:rsidRDefault="0001714B" w:rsidP="00E4570A">
      <w:pPr>
        <w:jc w:val="both"/>
        <w:rPr>
          <w:sz w:val="24"/>
          <w:szCs w:val="24"/>
        </w:rPr>
      </w:pPr>
    </w:p>
    <w:sectPr w:rsidR="0001714B" w:rsidRPr="00E457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C7965"/>
    <w:multiLevelType w:val="hybridMultilevel"/>
    <w:tmpl w:val="147E99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2AE7636"/>
    <w:multiLevelType w:val="hybridMultilevel"/>
    <w:tmpl w:val="CE8A3CA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2E10CEF"/>
    <w:multiLevelType w:val="hybridMultilevel"/>
    <w:tmpl w:val="6A5810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1255A45"/>
    <w:multiLevelType w:val="hybridMultilevel"/>
    <w:tmpl w:val="C98EE6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4F40C90"/>
    <w:multiLevelType w:val="hybridMultilevel"/>
    <w:tmpl w:val="567C59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1B1425E"/>
    <w:multiLevelType w:val="hybridMultilevel"/>
    <w:tmpl w:val="641609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9BA3FB4"/>
    <w:multiLevelType w:val="hybridMultilevel"/>
    <w:tmpl w:val="12883AF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82150167">
    <w:abstractNumId w:val="2"/>
  </w:num>
  <w:num w:numId="2" w16cid:durableId="1994874538">
    <w:abstractNumId w:val="0"/>
  </w:num>
  <w:num w:numId="3" w16cid:durableId="1499998432">
    <w:abstractNumId w:val="1"/>
  </w:num>
  <w:num w:numId="4" w16cid:durableId="1335187913">
    <w:abstractNumId w:val="6"/>
  </w:num>
  <w:num w:numId="5" w16cid:durableId="880365450">
    <w:abstractNumId w:val="5"/>
  </w:num>
  <w:num w:numId="6" w16cid:durableId="803307245">
    <w:abstractNumId w:val="3"/>
  </w:num>
  <w:num w:numId="7" w16cid:durableId="441269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01"/>
    <w:rsid w:val="0001714B"/>
    <w:rsid w:val="000A098C"/>
    <w:rsid w:val="000C02A5"/>
    <w:rsid w:val="001A080C"/>
    <w:rsid w:val="0021185E"/>
    <w:rsid w:val="00220FF5"/>
    <w:rsid w:val="00262F23"/>
    <w:rsid w:val="00305D74"/>
    <w:rsid w:val="003265AB"/>
    <w:rsid w:val="00336F14"/>
    <w:rsid w:val="00344405"/>
    <w:rsid w:val="003A6A4E"/>
    <w:rsid w:val="003D50A7"/>
    <w:rsid w:val="004B382E"/>
    <w:rsid w:val="00511E1E"/>
    <w:rsid w:val="0054002C"/>
    <w:rsid w:val="00634152"/>
    <w:rsid w:val="00656538"/>
    <w:rsid w:val="00741501"/>
    <w:rsid w:val="007532A9"/>
    <w:rsid w:val="00796C3E"/>
    <w:rsid w:val="007A74F7"/>
    <w:rsid w:val="007C7CAF"/>
    <w:rsid w:val="007F2875"/>
    <w:rsid w:val="0090643D"/>
    <w:rsid w:val="009D5683"/>
    <w:rsid w:val="00A36C0F"/>
    <w:rsid w:val="00B47EF9"/>
    <w:rsid w:val="00BA6998"/>
    <w:rsid w:val="00C14FBE"/>
    <w:rsid w:val="00C3644A"/>
    <w:rsid w:val="00C4778D"/>
    <w:rsid w:val="00C81982"/>
    <w:rsid w:val="00C936DB"/>
    <w:rsid w:val="00CB7599"/>
    <w:rsid w:val="00D04881"/>
    <w:rsid w:val="00DB0D77"/>
    <w:rsid w:val="00DC03BA"/>
    <w:rsid w:val="00DC6D1C"/>
    <w:rsid w:val="00DD3F3B"/>
    <w:rsid w:val="00E40374"/>
    <w:rsid w:val="00E4570A"/>
    <w:rsid w:val="00E73B1B"/>
    <w:rsid w:val="00EE0C01"/>
    <w:rsid w:val="00FA27D9"/>
    <w:rsid w:val="00FD6E1A"/>
    <w:rsid w:val="00FF6463"/>
    <w:rsid w:val="00FF6FF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08BEE"/>
  <w15:docId w15:val="{4DC14902-5511-B840-90C3-4AE56C09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6998"/>
    <w:pPr>
      <w:keepNext/>
      <w:spacing w:before="240" w:after="60" w:line="240" w:lineRule="auto"/>
      <w:outlineLvl w:val="1"/>
    </w:pPr>
    <w:rPr>
      <w:rFonts w:ascii="Arial" w:eastAsiaTheme="majorEastAsia" w:hAnsi="Arial" w:cstheme="majorBidi"/>
      <w:b/>
      <w:bCs/>
      <w:i/>
      <w:iCs/>
      <w:sz w:val="28"/>
      <w:szCs w:val="28"/>
    </w:rPr>
  </w:style>
  <w:style w:type="paragraph" w:styleId="Heading3">
    <w:name w:val="heading 3"/>
    <w:basedOn w:val="Normal"/>
    <w:next w:val="Normal"/>
    <w:link w:val="Heading3Char"/>
    <w:uiPriority w:val="9"/>
    <w:semiHidden/>
    <w:unhideWhenUsed/>
    <w:qFormat/>
    <w:rsid w:val="00E457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6998"/>
    <w:rPr>
      <w:rFonts w:ascii="Arial" w:eastAsiaTheme="majorEastAsia" w:hAnsi="Arial" w:cstheme="majorBidi"/>
      <w:b/>
      <w:bCs/>
      <w:i/>
      <w:iCs/>
      <w:sz w:val="28"/>
      <w:szCs w:val="28"/>
    </w:rPr>
  </w:style>
  <w:style w:type="paragraph" w:styleId="BalloonText">
    <w:name w:val="Balloon Text"/>
    <w:basedOn w:val="Normal"/>
    <w:link w:val="BalloonTextChar"/>
    <w:uiPriority w:val="99"/>
    <w:semiHidden/>
    <w:unhideWhenUsed/>
    <w:rsid w:val="00EE0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C01"/>
    <w:rPr>
      <w:rFonts w:ascii="Tahoma" w:hAnsi="Tahoma" w:cs="Tahoma"/>
      <w:sz w:val="16"/>
      <w:szCs w:val="16"/>
    </w:rPr>
  </w:style>
  <w:style w:type="paragraph" w:customStyle="1" w:styleId="Default">
    <w:name w:val="Default"/>
    <w:rsid w:val="00EE0C0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D5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1982"/>
    <w:pPr>
      <w:ind w:left="720"/>
      <w:contextualSpacing/>
    </w:pPr>
  </w:style>
  <w:style w:type="character" w:styleId="CommentReference">
    <w:name w:val="annotation reference"/>
    <w:basedOn w:val="DefaultParagraphFont"/>
    <w:uiPriority w:val="99"/>
    <w:semiHidden/>
    <w:unhideWhenUsed/>
    <w:rsid w:val="000A098C"/>
    <w:rPr>
      <w:sz w:val="16"/>
      <w:szCs w:val="16"/>
    </w:rPr>
  </w:style>
  <w:style w:type="paragraph" w:styleId="CommentText">
    <w:name w:val="annotation text"/>
    <w:basedOn w:val="Normal"/>
    <w:link w:val="CommentTextChar"/>
    <w:uiPriority w:val="99"/>
    <w:unhideWhenUsed/>
    <w:rsid w:val="000A098C"/>
    <w:pPr>
      <w:spacing w:line="240" w:lineRule="auto"/>
    </w:pPr>
    <w:rPr>
      <w:sz w:val="20"/>
      <w:szCs w:val="20"/>
    </w:rPr>
  </w:style>
  <w:style w:type="character" w:customStyle="1" w:styleId="CommentTextChar">
    <w:name w:val="Comment Text Char"/>
    <w:basedOn w:val="DefaultParagraphFont"/>
    <w:link w:val="CommentText"/>
    <w:uiPriority w:val="99"/>
    <w:rsid w:val="000A098C"/>
    <w:rPr>
      <w:sz w:val="20"/>
      <w:szCs w:val="20"/>
    </w:rPr>
  </w:style>
  <w:style w:type="character" w:styleId="Hyperlink">
    <w:name w:val="Hyperlink"/>
    <w:basedOn w:val="DefaultParagraphFont"/>
    <w:uiPriority w:val="99"/>
    <w:unhideWhenUsed/>
    <w:rsid w:val="00741501"/>
    <w:rPr>
      <w:color w:val="0000FF" w:themeColor="hyperlink"/>
      <w:u w:val="single"/>
    </w:rPr>
  </w:style>
  <w:style w:type="character" w:customStyle="1" w:styleId="Heading3Char">
    <w:name w:val="Heading 3 Char"/>
    <w:basedOn w:val="DefaultParagraphFont"/>
    <w:link w:val="Heading3"/>
    <w:uiPriority w:val="9"/>
    <w:semiHidden/>
    <w:rsid w:val="00E4570A"/>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7A74F7"/>
    <w:pPr>
      <w:spacing w:after="0" w:line="240" w:lineRule="auto"/>
    </w:pPr>
  </w:style>
  <w:style w:type="paragraph" w:styleId="CommentSubject">
    <w:name w:val="annotation subject"/>
    <w:basedOn w:val="CommentText"/>
    <w:next w:val="CommentText"/>
    <w:link w:val="CommentSubjectChar"/>
    <w:uiPriority w:val="99"/>
    <w:semiHidden/>
    <w:unhideWhenUsed/>
    <w:rsid w:val="00262F23"/>
    <w:rPr>
      <w:b/>
      <w:bCs/>
    </w:rPr>
  </w:style>
  <w:style w:type="character" w:customStyle="1" w:styleId="CommentSubjectChar">
    <w:name w:val="Comment Subject Char"/>
    <w:basedOn w:val="CommentTextChar"/>
    <w:link w:val="CommentSubject"/>
    <w:uiPriority w:val="99"/>
    <w:semiHidden/>
    <w:rsid w:val="00262F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693</Words>
  <Characters>3956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ETH Zuerich</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Ruedi Schwitter</dc:creator>
  <cp:lastModifiedBy>Elisabeth</cp:lastModifiedBy>
  <cp:revision>4</cp:revision>
  <dcterms:created xsi:type="dcterms:W3CDTF">2026-06-16T13:00:00Z</dcterms:created>
  <dcterms:modified xsi:type="dcterms:W3CDTF">2026-06-16T13:13:00Z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2026-06-16T07:10:21Z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65bbccc5-0f24-494a-8c56-0b2f5f54e73f</vt:lpwstr>
  </property>
  <property fmtid="{D5CDD505-2E9C-101B-9397-08002B2CF9AE}" pid="8" name="MSIP_Label_10d9bad3-6dac-4e9a-89a3-89f3b8d247b2_ContentBits">
    <vt:lpwstr>0</vt:lpwstr>
  </property>
  <property fmtid="{D5CDD505-2E9C-101B-9397-08002B2CF9AE}" pid="9" name="MSIP_Label_10d9bad3-6dac-4e9a-89a3-89f3b8d247b2_Tag">
    <vt:lpwstr>10, 3, 0, 1</vt:lpwstr>
  </property>
</Properties>
</file>